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5C59" w14:textId="2D338EFC" w:rsidR="00571684" w:rsidRPr="00005EDC" w:rsidRDefault="00571684" w:rsidP="00005EDC">
      <w:pPr>
        <w:rPr>
          <w:rFonts w:asciiTheme="minorHAnsi" w:hAnsiTheme="minorHAnsi" w:cstheme="minorHAnsi"/>
          <w:vanish/>
          <w:sz w:val="20"/>
          <w:szCs w:val="20"/>
        </w:rPr>
      </w:pPr>
    </w:p>
    <w:p w14:paraId="2E012C6B" w14:textId="77777777" w:rsidR="00571684" w:rsidRPr="00005EDC" w:rsidRDefault="00571684" w:rsidP="00005EDC">
      <w:pPr>
        <w:rPr>
          <w:rFonts w:asciiTheme="minorHAnsi" w:hAnsiTheme="minorHAnsi" w:cstheme="minorHAnsi"/>
          <w:vanish/>
          <w:sz w:val="20"/>
          <w:szCs w:val="20"/>
        </w:rPr>
      </w:pPr>
    </w:p>
    <w:p w14:paraId="22B9C3E6" w14:textId="2906C501" w:rsidR="00760CA3" w:rsidRDefault="00760CA3" w:rsidP="00760CA3"/>
    <w:tbl>
      <w:tblPr>
        <w:tblStyle w:val="TableGrid"/>
        <w:tblW w:w="1226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2126"/>
        <w:gridCol w:w="2340"/>
        <w:gridCol w:w="2274"/>
      </w:tblGrid>
      <w:tr w:rsidR="00760CA3" w:rsidRPr="00CC0F5D" w14:paraId="6513540C" w14:textId="77777777" w:rsidTr="0081746E">
        <w:tc>
          <w:tcPr>
            <w:tcW w:w="12264" w:type="dxa"/>
            <w:gridSpan w:val="7"/>
            <w:shd w:val="clear" w:color="auto" w:fill="E7E6E6" w:themeFill="background2"/>
          </w:tcPr>
          <w:p w14:paraId="5479F0AF" w14:textId="6DC1CE45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Comparing Hyperacidity Medications  </w:t>
            </w:r>
          </w:p>
        </w:tc>
      </w:tr>
      <w:tr w:rsidR="00760CA3" w:rsidRPr="00CC0F5D" w14:paraId="203C40B8" w14:textId="77777777" w:rsidTr="0081746E">
        <w:tc>
          <w:tcPr>
            <w:tcW w:w="1271" w:type="dxa"/>
            <w:shd w:val="clear" w:color="auto" w:fill="E7E6E6" w:themeFill="background2"/>
          </w:tcPr>
          <w:p w14:paraId="318C2E78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E7E6E6" w:themeFill="background2"/>
          </w:tcPr>
          <w:p w14:paraId="69DF90D3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Generic Prototype (Brand)</w:t>
            </w:r>
          </w:p>
        </w:tc>
        <w:tc>
          <w:tcPr>
            <w:tcW w:w="1417" w:type="dxa"/>
            <w:shd w:val="clear" w:color="auto" w:fill="E7E6E6" w:themeFill="background2"/>
          </w:tcPr>
          <w:p w14:paraId="40C3E9AF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Mechanism </w:t>
            </w:r>
          </w:p>
        </w:tc>
        <w:tc>
          <w:tcPr>
            <w:tcW w:w="1418" w:type="dxa"/>
            <w:shd w:val="clear" w:color="auto" w:fill="E7E6E6" w:themeFill="background2"/>
          </w:tcPr>
          <w:p w14:paraId="36E8C228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Indication &amp; Therapeutic Effect</w:t>
            </w:r>
          </w:p>
        </w:tc>
        <w:tc>
          <w:tcPr>
            <w:tcW w:w="2126" w:type="dxa"/>
            <w:shd w:val="clear" w:color="auto" w:fill="E7E6E6" w:themeFill="background2"/>
          </w:tcPr>
          <w:p w14:paraId="1A6D3B5F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Contraindications</w:t>
            </w:r>
          </w:p>
        </w:tc>
        <w:tc>
          <w:tcPr>
            <w:tcW w:w="2340" w:type="dxa"/>
            <w:shd w:val="clear" w:color="auto" w:fill="E7E6E6" w:themeFill="background2"/>
          </w:tcPr>
          <w:p w14:paraId="6B8B5FE2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Side Effects </w:t>
            </w:r>
          </w:p>
        </w:tc>
        <w:tc>
          <w:tcPr>
            <w:tcW w:w="2274" w:type="dxa"/>
            <w:shd w:val="clear" w:color="auto" w:fill="E7E6E6" w:themeFill="background2"/>
          </w:tcPr>
          <w:p w14:paraId="5CEA6007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Administration and </w:t>
            </w:r>
          </w:p>
          <w:p w14:paraId="2672E15C" w14:textId="77777777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Nursing Considerations </w:t>
            </w:r>
          </w:p>
        </w:tc>
      </w:tr>
      <w:tr w:rsidR="00760CA3" w:rsidRPr="00CC0F5D" w14:paraId="25AF7729" w14:textId="77777777" w:rsidTr="0081746E">
        <w:trPr>
          <w:trHeight w:val="1695"/>
        </w:trPr>
        <w:tc>
          <w:tcPr>
            <w:tcW w:w="1271" w:type="dxa"/>
          </w:tcPr>
          <w:p w14:paraId="7529C07D" w14:textId="77777777" w:rsidR="00760CA3" w:rsidRDefault="00760CA3" w:rsidP="0081746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Antacid</w:t>
            </w:r>
          </w:p>
          <w:p w14:paraId="3ACA153C" w14:textId="77777777" w:rsidR="0081746E" w:rsidRPr="0081746E" w:rsidRDefault="0081746E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12279" w14:textId="77777777" w:rsidR="0081746E" w:rsidRDefault="0081746E" w:rsidP="008174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8B9275" w14:textId="2B37237B" w:rsidR="0081746E" w:rsidRPr="0081746E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BFD25" w14:textId="2AA54E87" w:rsidR="00845EA4" w:rsidRPr="00CC0F5D" w:rsidRDefault="00460F82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EB2C08" w:rsidRPr="00EB2C08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calcium carbonate</w:t>
              </w:r>
            </w:hyperlink>
          </w:p>
          <w:p w14:paraId="694DDB10" w14:textId="77777777" w:rsidR="00760CA3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F0682" w14:textId="77777777" w:rsidR="0081746E" w:rsidRPr="0081746E" w:rsidRDefault="0081746E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BFB0E" w14:textId="77777777" w:rsidR="0081746E" w:rsidRPr="0081746E" w:rsidRDefault="0081746E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7AC20" w14:textId="25FBC4DE" w:rsidR="0081746E" w:rsidRPr="0081746E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B148A" w14:textId="77777777" w:rsidR="00EB2C08" w:rsidRDefault="00EB2C08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B2C08">
              <w:rPr>
                <w:rFonts w:asciiTheme="minorHAnsi" w:hAnsiTheme="minorHAnsi" w:cstheme="minorHAnsi"/>
                <w:sz w:val="20"/>
                <w:szCs w:val="20"/>
              </w:rPr>
              <w:t>eutraliz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B2C08">
              <w:rPr>
                <w:rFonts w:asciiTheme="minorHAnsi" w:hAnsiTheme="minorHAnsi" w:cstheme="minorHAnsi"/>
                <w:sz w:val="20"/>
                <w:szCs w:val="20"/>
              </w:rPr>
              <w:t xml:space="preserve"> hydrochloric acid in gastric secretions. </w:t>
            </w:r>
          </w:p>
          <w:p w14:paraId="49AFE24D" w14:textId="77777777" w:rsidR="00760CA3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31F4A" w14:textId="2D8BC025" w:rsidR="0081746E" w:rsidRPr="0081746E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FF4B8" w14:textId="22C25335" w:rsidR="00845EA4" w:rsidRPr="00CC0F5D" w:rsidRDefault="00845EA4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 xml:space="preserve">Decreased symptoms of heartburn </w:t>
            </w:r>
          </w:p>
          <w:p w14:paraId="020A88A5" w14:textId="77777777" w:rsidR="00760CA3" w:rsidRDefault="00760CA3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53E97" w14:textId="77777777" w:rsidR="0081746E" w:rsidRPr="0081746E" w:rsidRDefault="0081746E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DAF8E" w14:textId="0D95977E" w:rsidR="0081746E" w:rsidRPr="0081746E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FB09CA" w14:textId="7D2F213A" w:rsidR="00EB2C08" w:rsidRPr="00EB2C08" w:rsidRDefault="00EB2C08" w:rsidP="007F548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B2C08">
              <w:rPr>
                <w:rFonts w:asciiTheme="minorHAnsi" w:hAnsiTheme="minorHAnsi" w:cstheme="minorHAnsi"/>
                <w:sz w:val="20"/>
                <w:szCs w:val="20"/>
              </w:rPr>
              <w:t xml:space="preserve">Drug interaction with ceftriaxone </w:t>
            </w:r>
          </w:p>
          <w:p w14:paraId="5DD90DF8" w14:textId="77777777" w:rsidR="00EB2C08" w:rsidRDefault="00EB2C08" w:rsidP="007F548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B2C08">
              <w:rPr>
                <w:rFonts w:asciiTheme="minorHAnsi" w:hAnsiTheme="minorHAnsi" w:cstheme="minorHAnsi"/>
                <w:sz w:val="20"/>
                <w:szCs w:val="20"/>
              </w:rPr>
              <w:t xml:space="preserve">High calcium and low phosphate levels. </w:t>
            </w:r>
          </w:p>
          <w:p w14:paraId="2F64A4EB" w14:textId="0A689611" w:rsidR="0081746E" w:rsidRPr="0081746E" w:rsidRDefault="00EB2C08" w:rsidP="007F548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Kidney stones</w:t>
            </w:r>
          </w:p>
        </w:tc>
        <w:tc>
          <w:tcPr>
            <w:tcW w:w="2340" w:type="dxa"/>
          </w:tcPr>
          <w:p w14:paraId="77C547AA" w14:textId="77777777" w:rsidR="00845EA4" w:rsidRPr="00CC0F5D" w:rsidRDefault="00845EA4" w:rsidP="007F54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Constipation</w:t>
            </w:r>
          </w:p>
          <w:p w14:paraId="665B3AC5" w14:textId="77777777" w:rsidR="00845EA4" w:rsidRPr="00CC0F5D" w:rsidRDefault="00845EA4" w:rsidP="007F54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Hypercalcemia</w:t>
            </w:r>
          </w:p>
          <w:p w14:paraId="173C0FC2" w14:textId="6C5349E8" w:rsidR="0081746E" w:rsidRPr="0081746E" w:rsidRDefault="00845EA4" w:rsidP="007F54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Rebound hyperacidity when discontinued</w:t>
            </w:r>
          </w:p>
        </w:tc>
        <w:tc>
          <w:tcPr>
            <w:tcW w:w="2274" w:type="dxa"/>
          </w:tcPr>
          <w:p w14:paraId="07CBCCBA" w14:textId="7A61DADE" w:rsidR="00845EA4" w:rsidRPr="00CC0F5D" w:rsidRDefault="00845EA4" w:rsidP="007F54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81746E">
              <w:rPr>
                <w:rFonts w:asciiTheme="minorHAnsi" w:hAnsiTheme="minorHAnsi" w:cstheme="minorHAnsi"/>
                <w:sz w:val="20"/>
                <w:szCs w:val="20"/>
              </w:rPr>
              <w:t>n’t</w:t>
            </w: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 xml:space="preserve"> admin within 1-2 hrs of other med</w:t>
            </w:r>
            <w:r w:rsidR="008174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3079A575" w14:textId="78727736" w:rsidR="00845EA4" w:rsidRPr="00CC0F5D" w:rsidRDefault="00845EA4" w:rsidP="007F54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Drink a full glass of water after admin</w:t>
            </w:r>
          </w:p>
          <w:p w14:paraId="5DF51CA5" w14:textId="77777777" w:rsidR="00760CA3" w:rsidRDefault="00845EA4" w:rsidP="007F54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Use cautiously with re</w:t>
            </w:r>
            <w:r w:rsidR="00CC0F5D" w:rsidRPr="00CC0F5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al diseas</w:t>
            </w:r>
            <w:r w:rsidR="0081746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435EC4C4" w14:textId="713D766D" w:rsidR="0081746E" w:rsidRPr="0081746E" w:rsidRDefault="0081746E" w:rsidP="0081746E">
            <w:pPr>
              <w:pStyle w:val="NormalWeb"/>
              <w:spacing w:before="0" w:beforeAutospacing="0" w:after="0" w:afterAutospacing="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CA3" w:rsidRPr="00CC0F5D" w14:paraId="3EE50D9E" w14:textId="77777777" w:rsidTr="0081746E">
        <w:tc>
          <w:tcPr>
            <w:tcW w:w="1271" w:type="dxa"/>
          </w:tcPr>
          <w:p w14:paraId="577B1F35" w14:textId="4330CC3A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H2 blocker</w:t>
            </w:r>
          </w:p>
        </w:tc>
        <w:tc>
          <w:tcPr>
            <w:tcW w:w="1418" w:type="dxa"/>
          </w:tcPr>
          <w:p w14:paraId="144A51B7" w14:textId="5D4A30EA" w:rsidR="00845EA4" w:rsidRPr="00CC0F5D" w:rsidRDefault="00460F82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tgtFrame="_blank" w:history="1">
              <w:r w:rsidR="00845EA4" w:rsidRPr="00CC0F5D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famotidine</w:t>
              </w:r>
            </w:hyperlink>
          </w:p>
          <w:p w14:paraId="411A4030" w14:textId="36F2328B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1D547F" w14:textId="609132B6" w:rsidR="00760CA3" w:rsidRPr="00CC0F5D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Inhibits H2- receptors and therefore inhibits gastric secretion </w:t>
            </w:r>
          </w:p>
        </w:tc>
        <w:tc>
          <w:tcPr>
            <w:tcW w:w="1418" w:type="dxa"/>
          </w:tcPr>
          <w:p w14:paraId="758C0760" w14:textId="04FF9633" w:rsidR="0081746E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GERD</w:t>
            </w:r>
          </w:p>
          <w:p w14:paraId="5C31E00B" w14:textId="77777777" w:rsidR="0081746E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1DE8BC" w14:textId="3620E061" w:rsidR="0081746E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Gastric and duodenal ulcer </w:t>
            </w:r>
          </w:p>
          <w:p w14:paraId="264CB405" w14:textId="77777777" w:rsidR="0081746E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39DC5" w14:textId="5FB384EE" w:rsidR="00845EA4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 xml:space="preserve">eartburn </w:t>
            </w:r>
          </w:p>
          <w:p w14:paraId="3535F32C" w14:textId="77777777" w:rsidR="00760CA3" w:rsidRPr="00CC0F5D" w:rsidRDefault="00760CA3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09CA1" w14:textId="77777777" w:rsidR="00760CA3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81746E">
              <w:rPr>
                <w:rFonts w:asciiTheme="minorHAnsi" w:hAnsiTheme="minorHAnsi" w:cstheme="minorHAnsi"/>
                <w:sz w:val="20"/>
                <w:szCs w:val="20"/>
              </w:rPr>
              <w:t>ypersensitivity to H2-receptor antagonists.</w:t>
            </w:r>
          </w:p>
          <w:p w14:paraId="4488484B" w14:textId="77777777" w:rsidR="0081746E" w:rsidRDefault="0081746E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EB4ED" w14:textId="56959BD6" w:rsidR="0081746E" w:rsidRPr="00CC0F5D" w:rsidRDefault="0081746E" w:rsidP="008174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3809DF" w14:textId="5BABF206" w:rsidR="0081746E" w:rsidRDefault="00845EA4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headache, dizziness, constipation, and diarrhea</w:t>
            </w:r>
          </w:p>
          <w:p w14:paraId="6E70BB1A" w14:textId="75C6B600" w:rsidR="0081746E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0A3BE" w14:textId="2FD55909" w:rsidR="0081746E" w:rsidRPr="0081746E" w:rsidRDefault="0081746E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46E">
              <w:rPr>
                <w:rFonts w:asciiTheme="minorHAnsi" w:hAnsiTheme="minorHAnsi" w:cstheme="minorHAnsi"/>
                <w:sz w:val="20"/>
                <w:szCs w:val="20"/>
              </w:rPr>
              <w:t>Immediately report increased pain or signs of bleeding (coughing/ vomiting of blood)</w:t>
            </w:r>
          </w:p>
          <w:p w14:paraId="1126EF61" w14:textId="77777777" w:rsidR="00760CA3" w:rsidRPr="00CC0F5D" w:rsidRDefault="00760CA3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574A8A2" w14:textId="2F2CEC19" w:rsidR="00845EA4" w:rsidRDefault="0081746E" w:rsidP="007F54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Give 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>15 to 60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 xml:space="preserve"> before foods or drink </w:t>
            </w:r>
          </w:p>
          <w:p w14:paraId="7F194C77" w14:textId="1FF51381" w:rsidR="0081746E" w:rsidRDefault="0081746E" w:rsidP="007F54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Adjust dosage for pre-existing liver and kidney disease </w:t>
            </w:r>
          </w:p>
          <w:p w14:paraId="17F9FF00" w14:textId="326E6168" w:rsidR="00CC2B68" w:rsidRPr="0081746E" w:rsidRDefault="00CC2B68" w:rsidP="007F548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Report any signs of GI bleed </w:t>
            </w:r>
          </w:p>
          <w:p w14:paraId="09272C8F" w14:textId="77777777" w:rsidR="00760CA3" w:rsidRPr="00CC0F5D" w:rsidRDefault="00760CA3" w:rsidP="00BF024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CA3" w:rsidRPr="00CC0F5D" w14:paraId="32675159" w14:textId="77777777" w:rsidTr="0081746E">
        <w:tc>
          <w:tcPr>
            <w:tcW w:w="1271" w:type="dxa"/>
          </w:tcPr>
          <w:p w14:paraId="74482B8E" w14:textId="4217B1B3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Proton Pump Inhibitor</w:t>
            </w:r>
          </w:p>
        </w:tc>
        <w:tc>
          <w:tcPr>
            <w:tcW w:w="1418" w:type="dxa"/>
          </w:tcPr>
          <w:p w14:paraId="3220523F" w14:textId="70D81C46" w:rsidR="00845EA4" w:rsidRPr="00CC0F5D" w:rsidRDefault="00460F82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tgtFrame="_blank" w:history="1">
              <w:r w:rsidR="00845EA4" w:rsidRPr="00CC0F5D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p</w:t>
              </w:r>
              <w:r w:rsidR="00CC0F5D" w:rsidRPr="00CC0F5D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a</w:t>
              </w:r>
              <w:r w:rsidR="00845EA4" w:rsidRPr="00CC0F5D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ntoprazole</w:t>
              </w:r>
            </w:hyperlink>
          </w:p>
          <w:p w14:paraId="3494DC19" w14:textId="7563DD2F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E7E752" w14:textId="23A38569" w:rsidR="00CC2B68" w:rsidRDefault="00CC2B68" w:rsidP="00CC2B6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C2B68">
              <w:rPr>
                <w:rFonts w:asciiTheme="minorHAnsi" w:hAnsiTheme="minorHAnsi" w:cstheme="minorHAnsi"/>
                <w:sz w:val="20"/>
                <w:szCs w:val="20"/>
              </w:rPr>
              <w:t xml:space="preserve">uppresses the final step in gastric acid production </w:t>
            </w:r>
          </w:p>
          <w:p w14:paraId="4DCC6C92" w14:textId="776C9BF0" w:rsidR="00CC2B68" w:rsidRPr="00CC0F5D" w:rsidRDefault="00CC2B68" w:rsidP="00CC2B6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39620A" w14:textId="77FBBE83" w:rsidR="00845EA4" w:rsidRPr="00CC0F5D" w:rsidRDefault="00CC2B68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GERD </w:t>
            </w:r>
          </w:p>
          <w:p w14:paraId="323AB7B5" w14:textId="77777777" w:rsidR="00760CA3" w:rsidRPr="00CC0F5D" w:rsidRDefault="00760CA3" w:rsidP="008174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657C9" w14:textId="51B12267" w:rsidR="00CC2B68" w:rsidRPr="00CC2B68" w:rsidRDefault="00CC2B68" w:rsidP="007F548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C2B68">
              <w:rPr>
                <w:rFonts w:asciiTheme="minorHAnsi" w:hAnsiTheme="minorHAnsi" w:cstheme="minorHAnsi"/>
                <w:sz w:val="20"/>
                <w:szCs w:val="20"/>
              </w:rPr>
              <w:t xml:space="preserve">Concurrent infection with clostridium difficile bacteria </w:t>
            </w:r>
          </w:p>
          <w:p w14:paraId="5BA2CFE4" w14:textId="171E7CB5" w:rsidR="00CC2B68" w:rsidRPr="00CC2B68" w:rsidRDefault="00CC2B68" w:rsidP="007F548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C2B68">
              <w:rPr>
                <w:rFonts w:asciiTheme="minorHAnsi" w:hAnsiTheme="minorHAnsi" w:cstheme="minorHAnsi"/>
                <w:sz w:val="20"/>
                <w:szCs w:val="20"/>
              </w:rPr>
              <w:t xml:space="preserve">Osteoporosis </w:t>
            </w:r>
          </w:p>
          <w:p w14:paraId="11A66250" w14:textId="5E8259B0" w:rsidR="00CC2B68" w:rsidRPr="00CC2B68" w:rsidRDefault="00CC2B68" w:rsidP="007F548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C2B68">
              <w:rPr>
                <w:rFonts w:asciiTheme="minorHAnsi" w:hAnsiTheme="minorHAnsi" w:cstheme="minorHAnsi"/>
                <w:sz w:val="20"/>
                <w:szCs w:val="20"/>
              </w:rPr>
              <w:t xml:space="preserve">Interstitial nephritis </w:t>
            </w:r>
          </w:p>
        </w:tc>
        <w:tc>
          <w:tcPr>
            <w:tcW w:w="2340" w:type="dxa"/>
          </w:tcPr>
          <w:p w14:paraId="593ED8B9" w14:textId="41B597E6" w:rsidR="00CC2B68" w:rsidRPr="00CC2B68" w:rsidRDefault="00CC2B68" w:rsidP="007F54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845EA4" w:rsidRPr="00CC2B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naphylaxis and serious skin reactions</w:t>
            </w:r>
          </w:p>
          <w:p w14:paraId="1E0341D2" w14:textId="5D19964B" w:rsidR="00CC2B68" w:rsidRPr="00CC2B68" w:rsidRDefault="00CC2B68" w:rsidP="007F54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>inc, magnesium, or B12 deficiency</w:t>
            </w:r>
          </w:p>
          <w:p w14:paraId="7EEC3B54" w14:textId="320DA68E" w:rsidR="00CC2B68" w:rsidRPr="00CC2B68" w:rsidRDefault="00CC2B68" w:rsidP="007F54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>eadache, abdo pain, diarrhea, constipation</w:t>
            </w:r>
          </w:p>
          <w:p w14:paraId="2C25178C" w14:textId="70D26638" w:rsidR="00845EA4" w:rsidRPr="00CC0F5D" w:rsidRDefault="00CC2B68" w:rsidP="007F54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>enal dysfunction</w:t>
            </w:r>
          </w:p>
          <w:p w14:paraId="4E0FD118" w14:textId="4D1C0813" w:rsidR="00760CA3" w:rsidRPr="00CC2B68" w:rsidRDefault="00845EA4" w:rsidP="007F548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D227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- bone fracture</w:t>
            </w:r>
          </w:p>
        </w:tc>
        <w:tc>
          <w:tcPr>
            <w:tcW w:w="2274" w:type="dxa"/>
          </w:tcPr>
          <w:p w14:paraId="04BE7C74" w14:textId="77777777" w:rsidR="00CC2B68" w:rsidRDefault="00845EA4" w:rsidP="007F548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 xml:space="preserve">Delayed release </w:t>
            </w:r>
          </w:p>
          <w:p w14:paraId="35B6FBB4" w14:textId="6810832D" w:rsidR="00CC2B68" w:rsidRDefault="00CC2B68" w:rsidP="007F548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45EA4" w:rsidRPr="00CC0F5D">
              <w:rPr>
                <w:rFonts w:asciiTheme="minorHAnsi" w:hAnsiTheme="minorHAnsi" w:cstheme="minorHAnsi"/>
                <w:sz w:val="20"/>
                <w:szCs w:val="20"/>
              </w:rPr>
              <w:t>an be taken with or without food</w:t>
            </w:r>
          </w:p>
          <w:p w14:paraId="2026595C" w14:textId="70317DE0" w:rsidR="00CC2B68" w:rsidRPr="00CC2B68" w:rsidRDefault="00CC2B68" w:rsidP="007F548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2B68">
              <w:rPr>
                <w:rFonts w:asciiTheme="minorHAnsi" w:hAnsiTheme="minorHAnsi" w:cstheme="minorHAnsi"/>
                <w:sz w:val="20"/>
                <w:szCs w:val="20"/>
              </w:rPr>
              <w:t xml:space="preserve">Report any signs of GI bleed. </w:t>
            </w:r>
          </w:p>
          <w:p w14:paraId="43A1D4A3" w14:textId="37AD47DF" w:rsidR="00760CA3" w:rsidRPr="00CC0F5D" w:rsidRDefault="00760CA3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CA3" w:rsidRPr="00CC0F5D" w14:paraId="2230D412" w14:textId="77777777" w:rsidTr="0081746E">
        <w:tc>
          <w:tcPr>
            <w:tcW w:w="1271" w:type="dxa"/>
          </w:tcPr>
          <w:p w14:paraId="40A89EE5" w14:textId="2208F7B2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Mucosal protectants</w:t>
            </w:r>
          </w:p>
        </w:tc>
        <w:tc>
          <w:tcPr>
            <w:tcW w:w="1418" w:type="dxa"/>
          </w:tcPr>
          <w:p w14:paraId="5A9C052F" w14:textId="77777777" w:rsidR="00845EA4" w:rsidRPr="00CC0F5D" w:rsidRDefault="00460F82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tgtFrame="_blank" w:history="1">
              <w:r w:rsidR="00845EA4" w:rsidRPr="00CC0F5D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sucralfate</w:t>
              </w:r>
            </w:hyperlink>
          </w:p>
          <w:p w14:paraId="1E68F3E9" w14:textId="49EC0E69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61E220" w14:textId="366F819E" w:rsidR="00760CA3" w:rsidRPr="00CC0F5D" w:rsidRDefault="00BD2271" w:rsidP="00BD227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Creates</w:t>
            </w:r>
            <w:r w:rsidRPr="00BD2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protective </w:t>
            </w:r>
            <w:r w:rsidRPr="00BD2271">
              <w:rPr>
                <w:rFonts w:asciiTheme="minorHAnsi" w:hAnsiTheme="minorHAnsi" w:cstheme="minorHAnsi"/>
                <w:sz w:val="20"/>
                <w:szCs w:val="20"/>
              </w:rPr>
              <w:t>barrier to pepsin and bile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D2271">
              <w:rPr>
                <w:rFonts w:asciiTheme="minorHAnsi" w:hAnsiTheme="minorHAnsi" w:cstheme="minorHAnsi"/>
                <w:sz w:val="20"/>
                <w:szCs w:val="20"/>
              </w:rPr>
              <w:t xml:space="preserve">inhibits </w:t>
            </w:r>
            <w:r w:rsidRPr="00BD22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diffusion of gastric acid.</w:t>
            </w:r>
          </w:p>
        </w:tc>
        <w:tc>
          <w:tcPr>
            <w:tcW w:w="1418" w:type="dxa"/>
          </w:tcPr>
          <w:p w14:paraId="21DA9B79" w14:textId="6514513B" w:rsidR="00845EA4" w:rsidRDefault="00BD2271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Gastric and duodenal ulcer</w:t>
            </w:r>
          </w:p>
          <w:p w14:paraId="577D28FC" w14:textId="779A429B" w:rsidR="00BD2271" w:rsidRDefault="00BD2271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9C997" w14:textId="6ECC5D6B" w:rsidR="00760CA3" w:rsidRPr="00CC0F5D" w:rsidRDefault="00BD2271" w:rsidP="00BD227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Prevents recurrence of ulcers </w:t>
            </w:r>
          </w:p>
        </w:tc>
        <w:tc>
          <w:tcPr>
            <w:tcW w:w="2126" w:type="dxa"/>
          </w:tcPr>
          <w:p w14:paraId="79FB4B70" w14:textId="77777777" w:rsidR="00BD2271" w:rsidRDefault="00BD2271" w:rsidP="00BD227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Hypersensitivity</w:t>
            </w:r>
          </w:p>
          <w:p w14:paraId="42B76518" w14:textId="23414B4A" w:rsidR="00760CA3" w:rsidRPr="00CC0F5D" w:rsidRDefault="00BD2271" w:rsidP="00BD227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 stage renal disease  </w:t>
            </w:r>
          </w:p>
        </w:tc>
        <w:tc>
          <w:tcPr>
            <w:tcW w:w="2340" w:type="dxa"/>
          </w:tcPr>
          <w:p w14:paraId="472A3017" w14:textId="1AF22C34" w:rsidR="00845EA4" w:rsidRPr="00BD2271" w:rsidRDefault="00845EA4" w:rsidP="007F54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2271">
              <w:rPr>
                <w:rFonts w:asciiTheme="minorHAnsi" w:hAnsiTheme="minorHAnsi" w:cstheme="minorHAnsi"/>
                <w:sz w:val="20"/>
                <w:szCs w:val="20"/>
              </w:rPr>
              <w:t>Constipation</w:t>
            </w:r>
          </w:p>
          <w:p w14:paraId="579683F5" w14:textId="5A2DA1D1" w:rsidR="00BD2271" w:rsidRPr="00BD2271" w:rsidRDefault="00BD2271" w:rsidP="007F54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2271">
              <w:rPr>
                <w:rFonts w:asciiTheme="minorHAnsi" w:hAnsiTheme="minorHAnsi" w:cstheme="minorHAnsi"/>
                <w:sz w:val="20"/>
                <w:szCs w:val="20"/>
              </w:rPr>
              <w:t xml:space="preserve">Hyperglycemia </w:t>
            </w:r>
          </w:p>
          <w:p w14:paraId="23A5BC8C" w14:textId="07A54CE0" w:rsidR="00BD2271" w:rsidRPr="00BD2271" w:rsidRDefault="00BD2271" w:rsidP="007F54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2271">
              <w:rPr>
                <w:rFonts w:asciiTheme="minorHAnsi" w:hAnsiTheme="minorHAnsi" w:cstheme="minorHAnsi"/>
                <w:sz w:val="20"/>
                <w:szCs w:val="20"/>
              </w:rPr>
              <w:t xml:space="preserve">Several drug interactions </w:t>
            </w:r>
          </w:p>
          <w:p w14:paraId="37A8C975" w14:textId="33E09620" w:rsidR="00760CA3" w:rsidRPr="00CC0F5D" w:rsidRDefault="00760CA3" w:rsidP="0081746E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1FA7F661" w14:textId="72A842AF" w:rsidR="00845EA4" w:rsidRPr="00CC0F5D" w:rsidRDefault="00845EA4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Administer on an empty stomach, 2 h</w:t>
            </w:r>
            <w:r w:rsidR="00BD227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s after or 1 hr before meals</w:t>
            </w:r>
          </w:p>
          <w:p w14:paraId="09A3B16C" w14:textId="77777777" w:rsidR="00845EA4" w:rsidRPr="00CC0F5D" w:rsidRDefault="00845EA4" w:rsidP="0081746E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Use cautiously used clients with chronic renal failure</w:t>
            </w:r>
          </w:p>
          <w:p w14:paraId="3C6FA59A" w14:textId="77777777" w:rsidR="00760CA3" w:rsidRPr="00CC0F5D" w:rsidRDefault="00760CA3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CA3" w:rsidRPr="00CC0F5D" w14:paraId="0CC0EA08" w14:textId="77777777" w:rsidTr="0081746E">
        <w:trPr>
          <w:trHeight w:val="50"/>
        </w:trPr>
        <w:tc>
          <w:tcPr>
            <w:tcW w:w="1271" w:type="dxa"/>
          </w:tcPr>
          <w:p w14:paraId="4644892F" w14:textId="7C5943BB" w:rsidR="00760CA3" w:rsidRPr="00CC0F5D" w:rsidRDefault="00760CA3" w:rsidP="0081746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Anti</w:t>
            </w:r>
            <w:r w:rsidR="00341CED" w:rsidRPr="00CC0F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-flatulent</w:t>
            </w:r>
          </w:p>
        </w:tc>
        <w:tc>
          <w:tcPr>
            <w:tcW w:w="1418" w:type="dxa"/>
          </w:tcPr>
          <w:p w14:paraId="6338D087" w14:textId="2DC18CDD" w:rsidR="00760CA3" w:rsidRPr="00CC0F5D" w:rsidRDefault="00460F82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gtFrame="_blank" w:history="1">
              <w:r w:rsidR="00845EA4" w:rsidRPr="00CC0F5D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simethicone</w:t>
              </w:r>
            </w:hyperlink>
          </w:p>
        </w:tc>
        <w:tc>
          <w:tcPr>
            <w:tcW w:w="1417" w:type="dxa"/>
          </w:tcPr>
          <w:p w14:paraId="15A4C208" w14:textId="452CD57A" w:rsidR="00760CA3" w:rsidRPr="00CC0F5D" w:rsidRDefault="00BD2271" w:rsidP="00BD227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Changes surface tension of gas allowing for easier elimination</w:t>
            </w:r>
          </w:p>
        </w:tc>
        <w:tc>
          <w:tcPr>
            <w:tcW w:w="1418" w:type="dxa"/>
          </w:tcPr>
          <w:p w14:paraId="27F1EEAC" w14:textId="77777777" w:rsidR="00845EA4" w:rsidRPr="00CC0F5D" w:rsidRDefault="00845EA4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Relief of gas discomfort</w:t>
            </w:r>
          </w:p>
          <w:p w14:paraId="6171C3C9" w14:textId="77777777" w:rsidR="00760CA3" w:rsidRPr="00CC0F5D" w:rsidRDefault="00760CA3" w:rsidP="0081746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0E30A" w14:textId="7CC2B311" w:rsidR="00760CA3" w:rsidRPr="00CC0F5D" w:rsidRDefault="00BD2271" w:rsidP="00BD227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Hypersensitivity </w:t>
            </w:r>
          </w:p>
        </w:tc>
        <w:tc>
          <w:tcPr>
            <w:tcW w:w="2340" w:type="dxa"/>
          </w:tcPr>
          <w:p w14:paraId="25DF7D94" w14:textId="224CAB5C" w:rsidR="00845EA4" w:rsidRPr="00CC0F5D" w:rsidRDefault="00350C28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Diarrhea, nausea, vomiting, headache </w:t>
            </w:r>
          </w:p>
          <w:p w14:paraId="3C3CDBBA" w14:textId="73EA0507" w:rsidR="00760CA3" w:rsidRPr="00CC0F5D" w:rsidRDefault="00760CA3" w:rsidP="0081746E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FC179B2" w14:textId="77777777" w:rsidR="00845EA4" w:rsidRPr="00CC0F5D" w:rsidRDefault="00845EA4" w:rsidP="0081746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F5D">
              <w:rPr>
                <w:rFonts w:asciiTheme="minorHAnsi" w:hAnsiTheme="minorHAnsi" w:cstheme="minorHAnsi"/>
                <w:sz w:val="20"/>
                <w:szCs w:val="20"/>
              </w:rPr>
              <w:t>Shake drops before administering</w:t>
            </w:r>
          </w:p>
          <w:p w14:paraId="21030AC5" w14:textId="77777777" w:rsidR="00760CA3" w:rsidRPr="00CC0F5D" w:rsidRDefault="00760CA3" w:rsidP="008174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C06D77" w14:textId="40B83950" w:rsidR="00760CA3" w:rsidRDefault="00760CA3" w:rsidP="00760CA3"/>
    <w:p w14:paraId="767B9B2F" w14:textId="77777777" w:rsidR="00760CA3" w:rsidRDefault="00760CA3" w:rsidP="00760CA3"/>
    <w:p w14:paraId="53D2A4DB" w14:textId="77777777" w:rsidR="00760CA3" w:rsidRDefault="00760CA3" w:rsidP="00760CA3"/>
    <w:p w14:paraId="61D0F9A9" w14:textId="77777777" w:rsidR="00760CA3" w:rsidRPr="00760CA3" w:rsidRDefault="00760CA3" w:rsidP="00760CA3"/>
    <w:p w14:paraId="3B113123" w14:textId="37B7A6FF" w:rsidR="00350C28" w:rsidRDefault="00CC0F5D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DF1CCCA" w14:textId="77777777" w:rsidR="00350C28" w:rsidRDefault="00350C28" w:rsidP="00005E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1817"/>
        <w:gridCol w:w="1727"/>
        <w:gridCol w:w="2198"/>
        <w:gridCol w:w="3472"/>
      </w:tblGrid>
      <w:tr w:rsidR="00CC0F5D" w:rsidRPr="00F75626" w14:paraId="51B63982" w14:textId="77777777" w:rsidTr="00BF024E">
        <w:tc>
          <w:tcPr>
            <w:tcW w:w="14034" w:type="dxa"/>
            <w:gridSpan w:val="7"/>
            <w:shd w:val="clear" w:color="auto" w:fill="E7E6E6" w:themeFill="background2"/>
          </w:tcPr>
          <w:p w14:paraId="637D1C5E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Comparing Types of Anti-Emetics </w:t>
            </w:r>
          </w:p>
        </w:tc>
      </w:tr>
      <w:tr w:rsidR="00CC0F5D" w:rsidRPr="00F75626" w14:paraId="6AA2DA39" w14:textId="77777777" w:rsidTr="00F547ED">
        <w:tc>
          <w:tcPr>
            <w:tcW w:w="1985" w:type="dxa"/>
            <w:shd w:val="clear" w:color="auto" w:fill="E7E6E6" w:themeFill="background2"/>
          </w:tcPr>
          <w:p w14:paraId="56C917A0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76" w:type="dxa"/>
            <w:shd w:val="clear" w:color="auto" w:fill="E7E6E6" w:themeFill="background2"/>
          </w:tcPr>
          <w:p w14:paraId="7B9C4870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Generic Prototype (Brand)</w:t>
            </w:r>
          </w:p>
        </w:tc>
        <w:tc>
          <w:tcPr>
            <w:tcW w:w="1559" w:type="dxa"/>
            <w:shd w:val="clear" w:color="auto" w:fill="E7E6E6" w:themeFill="background2"/>
          </w:tcPr>
          <w:p w14:paraId="3593DF6F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Mechanism </w:t>
            </w:r>
          </w:p>
        </w:tc>
        <w:tc>
          <w:tcPr>
            <w:tcW w:w="1817" w:type="dxa"/>
            <w:shd w:val="clear" w:color="auto" w:fill="E7E6E6" w:themeFill="background2"/>
          </w:tcPr>
          <w:p w14:paraId="04EF6AC9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Indication &amp; Therapeutic Effect</w:t>
            </w:r>
          </w:p>
        </w:tc>
        <w:tc>
          <w:tcPr>
            <w:tcW w:w="1727" w:type="dxa"/>
            <w:shd w:val="clear" w:color="auto" w:fill="E7E6E6" w:themeFill="background2"/>
          </w:tcPr>
          <w:p w14:paraId="6FE0631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Contraindications</w:t>
            </w:r>
          </w:p>
        </w:tc>
        <w:tc>
          <w:tcPr>
            <w:tcW w:w="2198" w:type="dxa"/>
            <w:shd w:val="clear" w:color="auto" w:fill="E7E6E6" w:themeFill="background2"/>
          </w:tcPr>
          <w:p w14:paraId="0E46E498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Side Effects </w:t>
            </w:r>
          </w:p>
        </w:tc>
        <w:tc>
          <w:tcPr>
            <w:tcW w:w="3472" w:type="dxa"/>
            <w:shd w:val="clear" w:color="auto" w:fill="E7E6E6" w:themeFill="background2"/>
          </w:tcPr>
          <w:p w14:paraId="50BC5058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Administration and </w:t>
            </w:r>
          </w:p>
          <w:p w14:paraId="6363117D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Nursing Considerations </w:t>
            </w:r>
          </w:p>
        </w:tc>
      </w:tr>
      <w:tr w:rsidR="00CC0F5D" w:rsidRPr="00F75626" w14:paraId="517D1DA4" w14:textId="77777777" w:rsidTr="00F547ED">
        <w:tc>
          <w:tcPr>
            <w:tcW w:w="1985" w:type="dxa"/>
          </w:tcPr>
          <w:p w14:paraId="049AB98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Anticholinergic </w:t>
            </w:r>
          </w:p>
        </w:tc>
        <w:tc>
          <w:tcPr>
            <w:tcW w:w="1276" w:type="dxa"/>
          </w:tcPr>
          <w:p w14:paraId="3ECCAE23" w14:textId="3586121E" w:rsidR="00CC0F5D" w:rsidRDefault="00460F82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CC0F5D" w:rsidRPr="00E0247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Scopolamine</w:t>
              </w:r>
            </w:hyperlink>
          </w:p>
          <w:p w14:paraId="4D4147BC" w14:textId="77777777" w:rsidR="00CC0F5D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(Hyoscine) </w:t>
            </w:r>
          </w:p>
          <w:p w14:paraId="5C69DB06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(Transderm)</w:t>
            </w:r>
          </w:p>
        </w:tc>
        <w:tc>
          <w:tcPr>
            <w:tcW w:w="1559" w:type="dxa"/>
          </w:tcPr>
          <w:p w14:paraId="64046C50" w14:textId="7B1A8B35" w:rsidR="00CC0F5D" w:rsidRPr="00F75626" w:rsidRDefault="009A1332" w:rsidP="009A133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Inhibits </w:t>
            </w:r>
            <w:r w:rsidR="00E0247E" w:rsidRPr="00E0247E">
              <w:rPr>
                <w:rFonts w:asciiTheme="minorHAnsi" w:hAnsiTheme="minorHAnsi" w:cstheme="minorHAnsi"/>
                <w:sz w:val="20"/>
                <w:szCs w:val="20"/>
              </w:rPr>
              <w:t xml:space="preserve"> postganglionic muscarinic receptor sites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0247E" w:rsidRPr="00E0247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acts </w:t>
            </w:r>
            <w:r w:rsidR="00E0247E" w:rsidRPr="00E0247E">
              <w:rPr>
                <w:rFonts w:asciiTheme="minorHAnsi" w:hAnsiTheme="minorHAnsi" w:cstheme="minorHAnsi"/>
                <w:sz w:val="20"/>
                <w:szCs w:val="20"/>
              </w:rPr>
              <w:t xml:space="preserve">on smooth muscles that respond to acetylcholine </w:t>
            </w:r>
          </w:p>
        </w:tc>
        <w:tc>
          <w:tcPr>
            <w:tcW w:w="1817" w:type="dxa"/>
          </w:tcPr>
          <w:p w14:paraId="18BC31ED" w14:textId="77777777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Prevent or reduce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N/V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associated with motion sickness or surgery </w:t>
            </w:r>
          </w:p>
          <w:p w14:paraId="06D4040D" w14:textId="77777777" w:rsidR="00CC0F5D" w:rsidRPr="00F75626" w:rsidRDefault="00CC0F5D" w:rsidP="006A7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EAC2DFC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Contraindicated in clients with glaucoma</w:t>
            </w:r>
          </w:p>
        </w:tc>
        <w:tc>
          <w:tcPr>
            <w:tcW w:w="2198" w:type="dxa"/>
          </w:tcPr>
          <w:p w14:paraId="2DF6F90E" w14:textId="707FA773" w:rsidR="00CC0F5D" w:rsidRPr="009A1332" w:rsidRDefault="00CC0F5D" w:rsidP="007F5489">
            <w:pPr>
              <w:pStyle w:val="Default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anticholinergic effects </w:t>
            </w:r>
          </w:p>
          <w:p w14:paraId="76BD4C33" w14:textId="22155758" w:rsidR="00CC0F5D" w:rsidRPr="009A1332" w:rsidRDefault="009A1332" w:rsidP="007F548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Stop</w:t>
            </w:r>
            <w:r w:rsidR="00CC0F5D" w:rsidRPr="009A1332">
              <w:rPr>
                <w:rFonts w:asciiTheme="minorHAnsi" w:hAnsiTheme="minorHAnsi" w:cstheme="minorHAnsi"/>
                <w:sz w:val="20"/>
                <w:szCs w:val="20"/>
              </w:rPr>
              <w:t xml:space="preserve"> if it exacerbates psychosis or causes seizures</w:t>
            </w:r>
            <w:r w:rsidR="00BF02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C0F5D" w:rsidRPr="009A1332">
              <w:rPr>
                <w:rFonts w:asciiTheme="minorHAnsi" w:hAnsiTheme="minorHAnsi" w:cstheme="minorHAnsi"/>
                <w:sz w:val="20"/>
                <w:szCs w:val="20"/>
              </w:rPr>
              <w:t xml:space="preserve">cognitive impairment </w:t>
            </w:r>
          </w:p>
        </w:tc>
        <w:tc>
          <w:tcPr>
            <w:tcW w:w="3472" w:type="dxa"/>
          </w:tcPr>
          <w:p w14:paraId="2F531369" w14:textId="0CDBAEC8" w:rsidR="00CC0F5D" w:rsidRPr="009A1332" w:rsidRDefault="00CC0F5D" w:rsidP="007F5489">
            <w:pPr>
              <w:pStyle w:val="Default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Apply to hairless skin behind ear for 3 days or the night before surgery and remove 24 hours later </w:t>
            </w:r>
          </w:p>
          <w:p w14:paraId="5D6F3BA8" w14:textId="55F94D6D" w:rsidR="00CC0F5D" w:rsidRPr="009A1332" w:rsidRDefault="00CC0F5D" w:rsidP="007F5489">
            <w:pPr>
              <w:pStyle w:val="Default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Do not cut patch </w:t>
            </w:r>
          </w:p>
          <w:p w14:paraId="1EE6053E" w14:textId="759EF8EB" w:rsidR="00CC0F5D" w:rsidRPr="009A1332" w:rsidRDefault="00CC0F5D" w:rsidP="007F5489">
            <w:pPr>
              <w:pStyle w:val="Default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After application, thoroughly wash and dry hands </w:t>
            </w:r>
          </w:p>
          <w:p w14:paraId="7963E94C" w14:textId="77777777" w:rsidR="00CC0F5D" w:rsidRPr="00F75626" w:rsidRDefault="00CC0F5D" w:rsidP="007F5489">
            <w:pPr>
              <w:pStyle w:val="Default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Remove before an MRI </w:t>
            </w:r>
          </w:p>
          <w:p w14:paraId="78904392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F5D" w:rsidRPr="00F75626" w14:paraId="282FFF21" w14:textId="77777777" w:rsidTr="00F547ED">
        <w:tc>
          <w:tcPr>
            <w:tcW w:w="1985" w:type="dxa"/>
          </w:tcPr>
          <w:p w14:paraId="47E7021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Dopamine antagonist </w:t>
            </w:r>
          </w:p>
        </w:tc>
        <w:tc>
          <w:tcPr>
            <w:tcW w:w="1276" w:type="dxa"/>
          </w:tcPr>
          <w:p w14:paraId="0448A45F" w14:textId="7D7514C5" w:rsidR="00CC0F5D" w:rsidRDefault="00460F82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CC0F5D" w:rsidRPr="009A133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prochlorperazine</w:t>
              </w:r>
            </w:hyperlink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D68CD4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(Stemetil) </w:t>
            </w:r>
          </w:p>
        </w:tc>
        <w:tc>
          <w:tcPr>
            <w:tcW w:w="1559" w:type="dxa"/>
          </w:tcPr>
          <w:p w14:paraId="4EE58352" w14:textId="696BC034" w:rsidR="00CC0F5D" w:rsidRPr="00F75626" w:rsidRDefault="009A1332" w:rsidP="009A133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A1332">
              <w:rPr>
                <w:rFonts w:asciiTheme="minorHAnsi" w:hAnsiTheme="minorHAnsi" w:cstheme="minorHAnsi"/>
                <w:sz w:val="20"/>
                <w:szCs w:val="20"/>
              </w:rPr>
              <w:t>epress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9A1332">
              <w:rPr>
                <w:rFonts w:asciiTheme="minorHAnsi" w:hAnsiTheme="minorHAnsi" w:cstheme="minorHAnsi"/>
                <w:sz w:val="20"/>
                <w:szCs w:val="20"/>
              </w:rPr>
              <w:t xml:space="preserve"> action on the chemo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A1332">
              <w:rPr>
                <w:rFonts w:asciiTheme="minorHAnsi" w:hAnsiTheme="minorHAnsi" w:cstheme="minorHAnsi"/>
                <w:sz w:val="20"/>
                <w:szCs w:val="20"/>
              </w:rPr>
              <w:t xml:space="preserve">receptor trigger zone. </w:t>
            </w:r>
          </w:p>
        </w:tc>
        <w:tc>
          <w:tcPr>
            <w:tcW w:w="1817" w:type="dxa"/>
          </w:tcPr>
          <w:p w14:paraId="55EBC69E" w14:textId="18DDB79F" w:rsidR="00CC0F5D" w:rsidRPr="00F75626" w:rsidRDefault="009A1332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ontrol </w:t>
            </w:r>
            <w:r w:rsidR="00CC0F5D">
              <w:rPr>
                <w:rFonts w:asciiTheme="minorHAnsi" w:hAnsiTheme="minorHAnsi" w:cstheme="minorHAnsi"/>
                <w:sz w:val="20"/>
                <w:szCs w:val="20"/>
              </w:rPr>
              <w:t>N/V</w:t>
            </w:r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associated with surgery </w:t>
            </w:r>
          </w:p>
          <w:p w14:paraId="512F6F78" w14:textId="77777777" w:rsidR="00CC0F5D" w:rsidRPr="00F75626" w:rsidRDefault="00CC0F5D" w:rsidP="006A7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C1F684F" w14:textId="53FDABA0" w:rsidR="009A1332" w:rsidRDefault="009A1332" w:rsidP="009A133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of other CNS depressants </w:t>
            </w:r>
          </w:p>
          <w:p w14:paraId="5E3EE31D" w14:textId="77777777" w:rsidR="009A1332" w:rsidRDefault="009A1332" w:rsidP="009A133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420CB" w14:textId="5BF1971C" w:rsidR="00CC0F5D" w:rsidRPr="00F75626" w:rsidRDefault="009A1332" w:rsidP="009A133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Dementia-related psychosis </w:t>
            </w:r>
          </w:p>
        </w:tc>
        <w:tc>
          <w:tcPr>
            <w:tcW w:w="2198" w:type="dxa"/>
          </w:tcPr>
          <w:p w14:paraId="22BDF5AC" w14:textId="5B26DECE" w:rsidR="009A1332" w:rsidRPr="00BF024E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Drowsiness, dizziness, amenorrhea, blurred vision, skin reactions, </w:t>
            </w:r>
            <w:r w:rsidR="00BF024E">
              <w:rPr>
                <w:rFonts w:asciiTheme="minorHAnsi" w:hAnsiTheme="minorHAnsi" w:cstheme="minorHAnsi"/>
                <w:sz w:val="20"/>
                <w:szCs w:val="20"/>
              </w:rPr>
              <w:t xml:space="preserve">low  </w:t>
            </w:r>
            <w:r w:rsidR="009A1332" w:rsidRPr="009A1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Tardive dyskinesia, NMS</w:t>
            </w:r>
          </w:p>
          <w:p w14:paraId="7F050E2D" w14:textId="77777777" w:rsidR="00CC0F5D" w:rsidRPr="00F75626" w:rsidRDefault="00CC0F5D" w:rsidP="006A7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2" w:type="dxa"/>
          </w:tcPr>
          <w:p w14:paraId="7FFDC915" w14:textId="6E0E2253" w:rsidR="00CC0F5D" w:rsidRDefault="00CC0F5D" w:rsidP="007F548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Can be administered PO, IM, PR, or IV </w:t>
            </w:r>
          </w:p>
          <w:p w14:paraId="2F47CD6E" w14:textId="121297D2" w:rsidR="009A1332" w:rsidRPr="00F75626" w:rsidRDefault="009A1332" w:rsidP="007F548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 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 xml:space="preserve">suitable for children under the age of 2 </w:t>
            </w:r>
          </w:p>
          <w:p w14:paraId="46182AD5" w14:textId="77777777" w:rsidR="00CC0F5D" w:rsidRPr="00F75626" w:rsidRDefault="00CC0F5D" w:rsidP="006A7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F5D" w:rsidRPr="00F75626" w14:paraId="61A5B3A9" w14:textId="77777777" w:rsidTr="00F547ED">
        <w:tc>
          <w:tcPr>
            <w:tcW w:w="1985" w:type="dxa"/>
          </w:tcPr>
          <w:p w14:paraId="545B4EF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Prokinetic </w:t>
            </w:r>
          </w:p>
        </w:tc>
        <w:tc>
          <w:tcPr>
            <w:tcW w:w="1276" w:type="dxa"/>
          </w:tcPr>
          <w:p w14:paraId="4DF1E3A7" w14:textId="0C36D616" w:rsidR="00CC0F5D" w:rsidRDefault="00460F82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CC0F5D" w:rsidRPr="007F548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metoclopramide</w:t>
              </w:r>
            </w:hyperlink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B749C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(Maxeran) </w:t>
            </w:r>
          </w:p>
        </w:tc>
        <w:tc>
          <w:tcPr>
            <w:tcW w:w="1559" w:type="dxa"/>
          </w:tcPr>
          <w:p w14:paraId="607C0AAE" w14:textId="77777777" w:rsidR="00CC0F5D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Stimulates upper GI tract </w:t>
            </w:r>
          </w:p>
          <w:p w14:paraId="0CDCE834" w14:textId="77777777" w:rsidR="001619DC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6DF91" w14:textId="05D6F77C" w:rsidR="001619DC" w:rsidRPr="00F75626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Antagonizes dopamine receptors </w:t>
            </w:r>
          </w:p>
        </w:tc>
        <w:tc>
          <w:tcPr>
            <w:tcW w:w="1817" w:type="dxa"/>
          </w:tcPr>
          <w:p w14:paraId="2D793B8B" w14:textId="01319CDF" w:rsidR="001619DC" w:rsidRDefault="001619DC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GERD </w:t>
            </w:r>
          </w:p>
          <w:p w14:paraId="069B4F85" w14:textId="77777777" w:rsidR="001619DC" w:rsidRDefault="001619DC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B89F3" w14:textId="0F4647E8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N/V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associated with surgery or </w:t>
            </w:r>
            <w:proofErr w:type="gramStart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chemo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therapy</w:t>
            </w:r>
            <w:proofErr w:type="gramEnd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82C09" w14:textId="77777777" w:rsidR="00CC0F5D" w:rsidRPr="00F75626" w:rsidRDefault="00CC0F5D" w:rsidP="006A7E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14:paraId="21F7A8F1" w14:textId="77777777" w:rsidR="00CC0F5D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 hemorrhage </w:t>
            </w:r>
          </w:p>
          <w:p w14:paraId="69D39D83" w14:textId="77777777" w:rsidR="001619DC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 obstruction </w:t>
            </w:r>
          </w:p>
          <w:p w14:paraId="2AEF0135" w14:textId="77777777" w:rsidR="001619DC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 perforation</w:t>
            </w:r>
          </w:p>
          <w:p w14:paraId="6B9BA6A3" w14:textId="77777777" w:rsidR="001619DC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E1961" w14:textId="10E131B3" w:rsidR="001619DC" w:rsidRPr="00F75626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History of seizures </w:t>
            </w:r>
          </w:p>
        </w:tc>
        <w:tc>
          <w:tcPr>
            <w:tcW w:w="2198" w:type="dxa"/>
          </w:tcPr>
          <w:p w14:paraId="3A132C58" w14:textId="579BB48F" w:rsidR="00CC0F5D" w:rsidRPr="00F75626" w:rsidRDefault="00CC0F5D" w:rsidP="00BF024E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Restlessness, drowsiness, fatigue, depression, and </w:t>
            </w:r>
            <w:r w:rsidRPr="00161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suicide ideation</w:t>
            </w:r>
            <w:r w:rsidR="00BF0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161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Pr="00161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ardive dyskinesia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619DC" w:rsidRPr="00161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NMS</w:t>
            </w:r>
          </w:p>
        </w:tc>
        <w:tc>
          <w:tcPr>
            <w:tcW w:w="3472" w:type="dxa"/>
          </w:tcPr>
          <w:p w14:paraId="0C990F8D" w14:textId="77777777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Can be administered PO, IM, and IV </w:t>
            </w:r>
          </w:p>
          <w:p w14:paraId="66F6570F" w14:textId="77777777" w:rsidR="00CC0F5D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6B531" w14:textId="4422E374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Onset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1 to 3 min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s for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IV dose, 10 to 15 min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IM admin, and 30 to 60 min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s for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oral dose </w:t>
            </w:r>
          </w:p>
          <w:p w14:paraId="4C11CB01" w14:textId="097CA6FF" w:rsidR="00CC0F5D" w:rsidRPr="00F75626" w:rsidRDefault="00CC0F5D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F5D" w:rsidRPr="00F75626" w14:paraId="0ECBB48A" w14:textId="77777777" w:rsidTr="00F547ED">
        <w:tc>
          <w:tcPr>
            <w:tcW w:w="1985" w:type="dxa"/>
          </w:tcPr>
          <w:p w14:paraId="2CEA537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Serotonin antagonist </w:t>
            </w:r>
          </w:p>
        </w:tc>
        <w:tc>
          <w:tcPr>
            <w:tcW w:w="1276" w:type="dxa"/>
          </w:tcPr>
          <w:p w14:paraId="34915D8A" w14:textId="318C2258" w:rsidR="00CC0F5D" w:rsidRDefault="00460F82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CC0F5D" w:rsidRPr="001619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ondansetron</w:t>
              </w:r>
            </w:hyperlink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BE5864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(Zofran) </w:t>
            </w:r>
          </w:p>
        </w:tc>
        <w:tc>
          <w:tcPr>
            <w:tcW w:w="1559" w:type="dxa"/>
          </w:tcPr>
          <w:p w14:paraId="6C51C553" w14:textId="2BAD12C7" w:rsidR="00CC0F5D" w:rsidRPr="00F75626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619DC">
              <w:rPr>
                <w:rFonts w:asciiTheme="minorHAnsi" w:hAnsiTheme="minorHAnsi" w:cstheme="minorHAnsi"/>
                <w:sz w:val="20"/>
                <w:szCs w:val="20"/>
              </w:rPr>
              <w:t xml:space="preserve">elective 5-HT3 receptor antagonist. </w:t>
            </w:r>
          </w:p>
        </w:tc>
        <w:tc>
          <w:tcPr>
            <w:tcW w:w="1817" w:type="dxa"/>
          </w:tcPr>
          <w:p w14:paraId="180BE88E" w14:textId="680E50C6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Prevention or treatment of severe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N/V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associated with surgery, </w:t>
            </w:r>
            <w:proofErr w:type="gramStart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chemo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therapy</w:t>
            </w:r>
            <w:proofErr w:type="gramEnd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, or hyperemesis in pregnancy </w:t>
            </w:r>
          </w:p>
          <w:p w14:paraId="1BE55C8A" w14:textId="77777777" w:rsidR="00CC0F5D" w:rsidRPr="00F75626" w:rsidRDefault="00CC0F5D" w:rsidP="006A7E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91BE283" w14:textId="0C13C352" w:rsidR="00CC0F5D" w:rsidRPr="00F75626" w:rsidRDefault="001619DC" w:rsidP="001619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Hypersensitivity </w:t>
            </w:r>
          </w:p>
        </w:tc>
        <w:tc>
          <w:tcPr>
            <w:tcW w:w="2198" w:type="dxa"/>
          </w:tcPr>
          <w:p w14:paraId="5A8BA701" w14:textId="25DFA15E" w:rsidR="00CC0F5D" w:rsidRPr="001619DC" w:rsidRDefault="00CC0F5D" w:rsidP="007F548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Headache, drowsiness, constipation, fever, and diarrhea </w:t>
            </w:r>
          </w:p>
          <w:p w14:paraId="2C424793" w14:textId="37F755D9" w:rsidR="00CC0F5D" w:rsidRPr="001619DC" w:rsidRDefault="00CC0F5D" w:rsidP="007F5489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  <w:r w:rsidR="001619DC">
              <w:rPr>
                <w:rFonts w:asciiTheme="minorHAnsi" w:hAnsiTheme="minorHAnsi" w:cstheme="minorHAnsi"/>
                <w:sz w:val="20"/>
                <w:szCs w:val="20"/>
              </w:rPr>
              <w:t>prolong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QT </w:t>
            </w:r>
          </w:p>
          <w:p w14:paraId="05C0A4C1" w14:textId="52949D2D" w:rsidR="00CC0F5D" w:rsidRPr="00BF024E" w:rsidRDefault="00CC0F5D" w:rsidP="00BF024E">
            <w:pPr>
              <w:pStyle w:val="Defaul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serotonin syndrome if given concurrently with serotonin antagonists or SSRIs</w:t>
            </w:r>
          </w:p>
        </w:tc>
        <w:tc>
          <w:tcPr>
            <w:tcW w:w="3472" w:type="dxa"/>
          </w:tcPr>
          <w:p w14:paraId="4A7D2521" w14:textId="77777777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Can be administered as oral disintegrating tablet, PO, or IV </w:t>
            </w:r>
          </w:p>
          <w:p w14:paraId="3E06327D" w14:textId="77777777" w:rsidR="00CC0F5D" w:rsidRPr="00F75626" w:rsidRDefault="00CC0F5D" w:rsidP="006A7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F5D" w:rsidRPr="00F75626" w14:paraId="2B5E8B69" w14:textId="77777777" w:rsidTr="00F547ED">
        <w:tc>
          <w:tcPr>
            <w:tcW w:w="1985" w:type="dxa"/>
          </w:tcPr>
          <w:p w14:paraId="37D9BE6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Neurokinin receptor antagonist </w:t>
            </w:r>
          </w:p>
        </w:tc>
        <w:tc>
          <w:tcPr>
            <w:tcW w:w="1276" w:type="dxa"/>
          </w:tcPr>
          <w:p w14:paraId="376ACFC3" w14:textId="6F1FFDCE" w:rsidR="00CC0F5D" w:rsidRDefault="00460F82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CC0F5D" w:rsidRPr="001619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aprepitant</w:t>
              </w:r>
            </w:hyperlink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B12ADB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(Emend) </w:t>
            </w:r>
          </w:p>
        </w:tc>
        <w:tc>
          <w:tcPr>
            <w:tcW w:w="1559" w:type="dxa"/>
          </w:tcPr>
          <w:p w14:paraId="02C5E42F" w14:textId="3EF22244" w:rsidR="00CC0F5D" w:rsidRPr="00F75626" w:rsidRDefault="003648E8" w:rsidP="003648E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8E8">
              <w:rPr>
                <w:rFonts w:asciiTheme="minorHAnsi" w:hAnsiTheme="minorHAnsi" w:cstheme="minorHAnsi"/>
                <w:sz w:val="20"/>
                <w:szCs w:val="20"/>
              </w:rPr>
              <w:t>selective high-affinity antagonist of human substance P/neurokinin 1 (NK1) receptor</w:t>
            </w:r>
          </w:p>
        </w:tc>
        <w:tc>
          <w:tcPr>
            <w:tcW w:w="1817" w:type="dxa"/>
          </w:tcPr>
          <w:p w14:paraId="7CCFA3A1" w14:textId="305A4438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Prevention of nausea and vomiting associated with </w:t>
            </w:r>
            <w:proofErr w:type="gramStart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chemo</w:t>
            </w:r>
            <w:r w:rsidR="003648E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therapy</w:t>
            </w:r>
            <w:proofErr w:type="gramEnd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and surgery </w:t>
            </w:r>
          </w:p>
          <w:p w14:paraId="44C55F69" w14:textId="77777777" w:rsidR="00CC0F5D" w:rsidRPr="00F75626" w:rsidRDefault="00CC0F5D" w:rsidP="006A7E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2EA1CBA" w14:textId="08C0A568" w:rsidR="00CC0F5D" w:rsidRPr="00F75626" w:rsidRDefault="003648E8" w:rsidP="003648E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Clients on </w:t>
            </w:r>
            <w:r w:rsidRPr="003648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pimozide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14:paraId="4A5D06C1" w14:textId="77777777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Hypersensitivity reaction, such as hives, rash. and itching; skin peeling or sores; or difficulty in breathing or swallowing </w:t>
            </w:r>
          </w:p>
          <w:p w14:paraId="75B4F75D" w14:textId="1B9B306F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</w:tcPr>
          <w:p w14:paraId="5F2A3619" w14:textId="3EF24B8D" w:rsidR="003648E8" w:rsidRPr="003648E8" w:rsidRDefault="00CC0F5D" w:rsidP="007F5489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Can be administered PO or IV </w:t>
            </w:r>
          </w:p>
          <w:p w14:paraId="6CE2992D" w14:textId="0E827831" w:rsidR="003648E8" w:rsidRPr="003648E8" w:rsidRDefault="003648E8" w:rsidP="007F5489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warfarin, increase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INR monitoring</w:t>
            </w:r>
          </w:p>
          <w:p w14:paraId="17617884" w14:textId="11F81B69" w:rsidR="003648E8" w:rsidRPr="00F75626" w:rsidRDefault="003648E8" w:rsidP="007F5489">
            <w:pPr>
              <w:pStyle w:val="Defaul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oral contraceptives, use backup birth control</w:t>
            </w:r>
          </w:p>
          <w:p w14:paraId="3E8264B7" w14:textId="77777777" w:rsidR="00CC0F5D" w:rsidRPr="00F75626" w:rsidRDefault="00CC0F5D" w:rsidP="006A7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F5D" w:rsidRPr="00F75626" w14:paraId="7435930F" w14:textId="77777777" w:rsidTr="00F547ED">
        <w:tc>
          <w:tcPr>
            <w:tcW w:w="1985" w:type="dxa"/>
          </w:tcPr>
          <w:p w14:paraId="65170732" w14:textId="77777777" w:rsidR="00CC0F5D" w:rsidRPr="00F75626" w:rsidRDefault="00CC0F5D" w:rsidP="006A7E63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THC </w:t>
            </w:r>
          </w:p>
        </w:tc>
        <w:tc>
          <w:tcPr>
            <w:tcW w:w="1276" w:type="dxa"/>
          </w:tcPr>
          <w:p w14:paraId="3F7BF104" w14:textId="5B887547" w:rsidR="00CC0F5D" w:rsidRPr="00F75626" w:rsidRDefault="00460F82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CC0F5D" w:rsidRPr="007F548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dronabinol</w:t>
              </w:r>
            </w:hyperlink>
            <w:r w:rsidR="00CC0F5D"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or medical marijuana </w:t>
            </w:r>
          </w:p>
        </w:tc>
        <w:tc>
          <w:tcPr>
            <w:tcW w:w="1559" w:type="dxa"/>
          </w:tcPr>
          <w:p w14:paraId="10D9F6DB" w14:textId="29CF7F32" w:rsidR="00CC0F5D" w:rsidRPr="00F75626" w:rsidRDefault="003648E8" w:rsidP="003648E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8E8">
              <w:rPr>
                <w:rFonts w:asciiTheme="minorHAnsi" w:hAnsiTheme="minorHAnsi" w:cstheme="minorHAnsi"/>
                <w:sz w:val="20"/>
                <w:szCs w:val="20"/>
              </w:rPr>
              <w:t>central sympathomimetic activity</w:t>
            </w:r>
          </w:p>
        </w:tc>
        <w:tc>
          <w:tcPr>
            <w:tcW w:w="1817" w:type="dxa"/>
          </w:tcPr>
          <w:p w14:paraId="14DFDF37" w14:textId="3FD011F7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For treatment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N/V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associated with cancer </w:t>
            </w:r>
            <w:proofErr w:type="gramStart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chemo</w:t>
            </w:r>
            <w:r w:rsidR="003648E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548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>herapy</w:t>
            </w:r>
            <w:proofErr w:type="gramEnd"/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 when other treatment fails </w:t>
            </w:r>
          </w:p>
          <w:p w14:paraId="6B830889" w14:textId="77777777" w:rsidR="00CC0F5D" w:rsidRPr="00F75626" w:rsidRDefault="00CC0F5D" w:rsidP="006A7E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CEB5B85" w14:textId="26C8F382" w:rsidR="00CC0F5D" w:rsidRPr="00F75626" w:rsidRDefault="007F5489" w:rsidP="007F5489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Hypersensitivity to sesame oil. </w:t>
            </w:r>
          </w:p>
        </w:tc>
        <w:tc>
          <w:tcPr>
            <w:tcW w:w="2198" w:type="dxa"/>
          </w:tcPr>
          <w:p w14:paraId="2EA461A5" w14:textId="1A816E7A" w:rsidR="007F5489" w:rsidRPr="007F5489" w:rsidRDefault="007F5489" w:rsidP="007F548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5489">
              <w:rPr>
                <w:rFonts w:asciiTheme="minorHAnsi" w:hAnsiTheme="minorHAnsi" w:cstheme="minorHAnsi"/>
                <w:sz w:val="20"/>
                <w:szCs w:val="20"/>
              </w:rPr>
              <w:t xml:space="preserve">Neuropsychiatric Adverse Reactions </w:t>
            </w:r>
          </w:p>
          <w:p w14:paraId="7342B2E2" w14:textId="7277F7CA" w:rsidR="007F5489" w:rsidRPr="007F5489" w:rsidRDefault="007F5489" w:rsidP="007F548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5489">
              <w:rPr>
                <w:rFonts w:asciiTheme="minorHAnsi" w:hAnsiTheme="minorHAnsi" w:cstheme="minorHAnsi"/>
                <w:sz w:val="20"/>
                <w:szCs w:val="20"/>
              </w:rPr>
              <w:t xml:space="preserve">Hemodynamic Instability </w:t>
            </w:r>
          </w:p>
          <w:p w14:paraId="2A6F24A0" w14:textId="77777777" w:rsidR="007F5489" w:rsidRDefault="007F5489" w:rsidP="007F548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5489">
              <w:rPr>
                <w:rFonts w:asciiTheme="minorHAnsi" w:hAnsiTheme="minorHAnsi" w:cstheme="minorHAnsi"/>
                <w:sz w:val="20"/>
                <w:szCs w:val="20"/>
              </w:rPr>
              <w:t xml:space="preserve">Seizures </w:t>
            </w:r>
          </w:p>
          <w:p w14:paraId="2B101FF8" w14:textId="1CBA1973" w:rsidR="00CC0F5D" w:rsidRPr="00F75626" w:rsidRDefault="007F5489" w:rsidP="007F548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5489">
              <w:rPr>
                <w:rFonts w:asciiTheme="minorHAnsi" w:hAnsiTheme="minorHAnsi" w:cstheme="minorHAnsi"/>
                <w:sz w:val="20"/>
                <w:szCs w:val="20"/>
              </w:rPr>
              <w:t>Paradoxical Nausea, Vomiting, and Abdominal Pain</w:t>
            </w:r>
          </w:p>
        </w:tc>
        <w:tc>
          <w:tcPr>
            <w:tcW w:w="3472" w:type="dxa"/>
          </w:tcPr>
          <w:p w14:paraId="24A73FE4" w14:textId="77777777" w:rsidR="00CC0F5D" w:rsidRPr="00F75626" w:rsidRDefault="00CC0F5D" w:rsidP="006A7E63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Administered PO </w:t>
            </w:r>
          </w:p>
          <w:p w14:paraId="31D3E336" w14:textId="77777777" w:rsidR="00CC0F5D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6C3E6" w14:textId="3F0188C3" w:rsidR="00CC0F5D" w:rsidRDefault="00CC0F5D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Dosage may be escalated based on initial results </w:t>
            </w:r>
          </w:p>
          <w:p w14:paraId="0D579A50" w14:textId="77777777" w:rsidR="007F5489" w:rsidRDefault="007F5489" w:rsidP="006A7E6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04C23" w14:textId="4B4F6485" w:rsidR="007F5489" w:rsidRPr="00F75626" w:rsidRDefault="007F5489" w:rsidP="007F5489">
            <w:pPr>
              <w:pStyle w:val="Defaul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sz w:val="20"/>
                <w:szCs w:val="20"/>
              </w:rPr>
              <w:t xml:space="preserve">Use cautiously in elderly clients </w:t>
            </w:r>
          </w:p>
        </w:tc>
      </w:tr>
    </w:tbl>
    <w:p w14:paraId="6EC3AAD2" w14:textId="77777777" w:rsidR="00CC0F5D" w:rsidRPr="00005EDC" w:rsidRDefault="00CC0F5D" w:rsidP="00005EDC">
      <w:pPr>
        <w:rPr>
          <w:rFonts w:asciiTheme="minorHAnsi" w:hAnsiTheme="minorHAnsi" w:cstheme="minorHAnsi"/>
          <w:sz w:val="20"/>
          <w:szCs w:val="20"/>
        </w:rPr>
      </w:pPr>
    </w:p>
    <w:sectPr w:rsidR="00CC0F5D" w:rsidRPr="00005EDC" w:rsidSect="00B80F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os">
    <w:altName w:val="Tinos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574"/>
    <w:multiLevelType w:val="hybridMultilevel"/>
    <w:tmpl w:val="080A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20ABE"/>
    <w:multiLevelType w:val="hybridMultilevel"/>
    <w:tmpl w:val="986E5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D7382"/>
    <w:multiLevelType w:val="hybridMultilevel"/>
    <w:tmpl w:val="2FAE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921"/>
    <w:multiLevelType w:val="hybridMultilevel"/>
    <w:tmpl w:val="999A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266"/>
    <w:multiLevelType w:val="hybridMultilevel"/>
    <w:tmpl w:val="6558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10995"/>
    <w:multiLevelType w:val="hybridMultilevel"/>
    <w:tmpl w:val="7C0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4000D"/>
    <w:multiLevelType w:val="hybridMultilevel"/>
    <w:tmpl w:val="4F3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15B6"/>
    <w:multiLevelType w:val="hybridMultilevel"/>
    <w:tmpl w:val="4ADE9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50F6C"/>
    <w:multiLevelType w:val="hybridMultilevel"/>
    <w:tmpl w:val="CD8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1F5F"/>
    <w:multiLevelType w:val="hybridMultilevel"/>
    <w:tmpl w:val="7E4EF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F60DB"/>
    <w:multiLevelType w:val="hybridMultilevel"/>
    <w:tmpl w:val="033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F4348"/>
    <w:multiLevelType w:val="hybridMultilevel"/>
    <w:tmpl w:val="A202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F18F7"/>
    <w:multiLevelType w:val="hybridMultilevel"/>
    <w:tmpl w:val="BD0C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5"/>
    <w:rsid w:val="00002410"/>
    <w:rsid w:val="00005EDC"/>
    <w:rsid w:val="0002308C"/>
    <w:rsid w:val="00027B3F"/>
    <w:rsid w:val="0006757F"/>
    <w:rsid w:val="000910C9"/>
    <w:rsid w:val="000A3911"/>
    <w:rsid w:val="000C25DA"/>
    <w:rsid w:val="000D57FC"/>
    <w:rsid w:val="000E5C72"/>
    <w:rsid w:val="00105FED"/>
    <w:rsid w:val="001115D6"/>
    <w:rsid w:val="00131D3B"/>
    <w:rsid w:val="00135141"/>
    <w:rsid w:val="00141783"/>
    <w:rsid w:val="001619DC"/>
    <w:rsid w:val="00173B36"/>
    <w:rsid w:val="00197DAC"/>
    <w:rsid w:val="001C0434"/>
    <w:rsid w:val="0020040B"/>
    <w:rsid w:val="002A564D"/>
    <w:rsid w:val="002C565F"/>
    <w:rsid w:val="002E7494"/>
    <w:rsid w:val="00313F0E"/>
    <w:rsid w:val="003356F8"/>
    <w:rsid w:val="00341CED"/>
    <w:rsid w:val="00350C28"/>
    <w:rsid w:val="00352978"/>
    <w:rsid w:val="003648E8"/>
    <w:rsid w:val="003A1A8E"/>
    <w:rsid w:val="00460F82"/>
    <w:rsid w:val="004656ED"/>
    <w:rsid w:val="00497EAD"/>
    <w:rsid w:val="004C4672"/>
    <w:rsid w:val="004E3E91"/>
    <w:rsid w:val="005035A1"/>
    <w:rsid w:val="00516838"/>
    <w:rsid w:val="0051737C"/>
    <w:rsid w:val="005217E6"/>
    <w:rsid w:val="0053267D"/>
    <w:rsid w:val="00553F0F"/>
    <w:rsid w:val="005619A1"/>
    <w:rsid w:val="00571684"/>
    <w:rsid w:val="00572556"/>
    <w:rsid w:val="00594CEB"/>
    <w:rsid w:val="005D1CE0"/>
    <w:rsid w:val="005D6CCD"/>
    <w:rsid w:val="005E0179"/>
    <w:rsid w:val="005F216D"/>
    <w:rsid w:val="005F53F3"/>
    <w:rsid w:val="005F63F2"/>
    <w:rsid w:val="00642476"/>
    <w:rsid w:val="00664747"/>
    <w:rsid w:val="00686E4C"/>
    <w:rsid w:val="006A60B8"/>
    <w:rsid w:val="006C3E05"/>
    <w:rsid w:val="00700641"/>
    <w:rsid w:val="00701BA5"/>
    <w:rsid w:val="007201F6"/>
    <w:rsid w:val="00720CB3"/>
    <w:rsid w:val="00734A56"/>
    <w:rsid w:val="00760CA3"/>
    <w:rsid w:val="007B641C"/>
    <w:rsid w:val="007C1CA8"/>
    <w:rsid w:val="007C4E8C"/>
    <w:rsid w:val="007D4C08"/>
    <w:rsid w:val="007F5489"/>
    <w:rsid w:val="0081746E"/>
    <w:rsid w:val="00845EA4"/>
    <w:rsid w:val="00864846"/>
    <w:rsid w:val="008748D2"/>
    <w:rsid w:val="008B00D1"/>
    <w:rsid w:val="008C4486"/>
    <w:rsid w:val="008C529D"/>
    <w:rsid w:val="008E3F66"/>
    <w:rsid w:val="0090663E"/>
    <w:rsid w:val="0092581C"/>
    <w:rsid w:val="0093242B"/>
    <w:rsid w:val="00957273"/>
    <w:rsid w:val="00991AEC"/>
    <w:rsid w:val="009A1332"/>
    <w:rsid w:val="009C0F7A"/>
    <w:rsid w:val="00A2018B"/>
    <w:rsid w:val="00A32CC6"/>
    <w:rsid w:val="00A51814"/>
    <w:rsid w:val="00A86608"/>
    <w:rsid w:val="00A8734B"/>
    <w:rsid w:val="00A930CF"/>
    <w:rsid w:val="00AB5C14"/>
    <w:rsid w:val="00B13B3B"/>
    <w:rsid w:val="00B36134"/>
    <w:rsid w:val="00B67E17"/>
    <w:rsid w:val="00B80FA5"/>
    <w:rsid w:val="00BC0F0A"/>
    <w:rsid w:val="00BD2271"/>
    <w:rsid w:val="00BF024E"/>
    <w:rsid w:val="00BF2D9D"/>
    <w:rsid w:val="00C20049"/>
    <w:rsid w:val="00C25F25"/>
    <w:rsid w:val="00C406C0"/>
    <w:rsid w:val="00C51555"/>
    <w:rsid w:val="00C563F8"/>
    <w:rsid w:val="00C65533"/>
    <w:rsid w:val="00CA6992"/>
    <w:rsid w:val="00CC0F5D"/>
    <w:rsid w:val="00CC2B68"/>
    <w:rsid w:val="00CD4830"/>
    <w:rsid w:val="00D0599C"/>
    <w:rsid w:val="00D5557B"/>
    <w:rsid w:val="00D807AF"/>
    <w:rsid w:val="00D92AF3"/>
    <w:rsid w:val="00DF62DD"/>
    <w:rsid w:val="00DF6471"/>
    <w:rsid w:val="00E0247E"/>
    <w:rsid w:val="00E1236D"/>
    <w:rsid w:val="00E23A36"/>
    <w:rsid w:val="00EB2C08"/>
    <w:rsid w:val="00EC18E7"/>
    <w:rsid w:val="00EC5BD0"/>
    <w:rsid w:val="00F33DF3"/>
    <w:rsid w:val="00F547ED"/>
    <w:rsid w:val="00F63543"/>
    <w:rsid w:val="00F715FE"/>
    <w:rsid w:val="00F75626"/>
    <w:rsid w:val="00F96B40"/>
    <w:rsid w:val="00FA14B5"/>
    <w:rsid w:val="00FA3C8D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E8FA"/>
  <w15:docId w15:val="{B5688832-D5A4-9D45-86D0-BA0A1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basedOn w:val="Heading1"/>
    <w:next w:val="Heading1"/>
    <w:qFormat/>
    <w:rsid w:val="005619A1"/>
    <w:pPr>
      <w:jc w:val="center"/>
    </w:pPr>
    <w:rPr>
      <w:rFonts w:ascii="Times New Roman" w:hAnsi="Times New Roman" w:cs="Times New Roman (Headings CS)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529D"/>
    <w:pPr>
      <w:spacing w:before="20" w:after="20"/>
    </w:pPr>
    <w:rPr>
      <w:b/>
      <w:bCs/>
      <w:sz w:val="1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0FA5"/>
    <w:pPr>
      <w:ind w:left="720"/>
      <w:contextualSpacing/>
    </w:pPr>
    <w:rPr>
      <w:rFonts w:ascii="Arial" w:hAnsi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FA5"/>
    <w:rPr>
      <w:rFonts w:ascii="Arial" w:eastAsia="Times New Roman" w:hAnsi="Arial" w:cs="Times New Roman"/>
      <w:szCs w:val="22"/>
      <w:lang w:val="en-US"/>
    </w:rPr>
  </w:style>
  <w:style w:type="table" w:styleId="TableGrid">
    <w:name w:val="Table Grid"/>
    <w:basedOn w:val="TableNormal"/>
    <w:uiPriority w:val="39"/>
    <w:rsid w:val="00B80FA5"/>
    <w:pPr>
      <w:ind w:firstLine="72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B8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0F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0FA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3514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514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1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4656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3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035A1"/>
    <w:pPr>
      <w:autoSpaceDE w:val="0"/>
      <w:autoSpaceDN w:val="0"/>
      <w:adjustRightInd w:val="0"/>
    </w:pPr>
    <w:rPr>
      <w:rFonts w:ascii="Tinos" w:hAnsi="Tinos" w:cs="Tino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3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med.nlm.nih.gov/dailymed/drugInfo.cfm?setid=62819787-beb7-408a-9e23-a61b4720e99c" TargetMode="External"/><Relationship Id="rId13" Type="http://schemas.openxmlformats.org/officeDocument/2006/relationships/hyperlink" Target="https://dailymed.nlm.nih.gov/dailymed/drugInfo.cfm?setid=be5930d2-0008-4e61-9715-684c29a9c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ilymed.nlm.nih.gov/dailymed/drugInfo.cfm?setid=9bed093a-9586-4c82-a2b7-c68f89d0faef" TargetMode="External"/><Relationship Id="rId12" Type="http://schemas.openxmlformats.org/officeDocument/2006/relationships/hyperlink" Target="https://dailymed.nlm.nih.gov/dailymed/drugInfo.cfm?setid=59abd52d-8172-44a3-baa2-fe1fe20f78c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ilymed.nlm.nih.gov/dailymed/drugInfo.cfm?setid=a0bdf4d1-8458-4e4f-95aa-bcc38c0f32f8" TargetMode="External"/><Relationship Id="rId11" Type="http://schemas.openxmlformats.org/officeDocument/2006/relationships/hyperlink" Target="https://dailymed.nlm.nih.gov/dailymed/drugInfo.cfm?setid=baf59816-7577-4652-b065-fb6de9e54569" TargetMode="External"/><Relationship Id="rId5" Type="http://schemas.openxmlformats.org/officeDocument/2006/relationships/hyperlink" Target="https://dailymed.nlm.nih.gov/dailymed/drugInfo.cfm?setid=f21c8cf7-45cb-492b-bf4a-462024a54569" TargetMode="External"/><Relationship Id="rId15" Type="http://schemas.openxmlformats.org/officeDocument/2006/relationships/hyperlink" Target="https://dailymed.nlm.nih.gov/dailymed/drugInfo.cfm?setid=a0409d82-a61e-4b9e-8717-ced299ccedb2" TargetMode="External"/><Relationship Id="rId10" Type="http://schemas.openxmlformats.org/officeDocument/2006/relationships/hyperlink" Target="https://dailymed.nlm.nih.gov/dailymed/drugInfo.cfm?setid=163accb7-45e6-4d97-844d-72b606677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lineplus.gov/" TargetMode="External"/><Relationship Id="rId14" Type="http://schemas.openxmlformats.org/officeDocument/2006/relationships/hyperlink" Target="https://dailymed.nlm.nih.gov/dailymed/drugInfo.cfm?setid=af9b6086-4bf2-472c-8740-4134eaaeb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Egert</dc:creator>
  <cp:keywords/>
  <dc:description/>
  <cp:lastModifiedBy>Amanda Egert</cp:lastModifiedBy>
  <cp:revision>8</cp:revision>
  <dcterms:created xsi:type="dcterms:W3CDTF">2022-01-16T18:05:00Z</dcterms:created>
  <dcterms:modified xsi:type="dcterms:W3CDTF">2022-02-24T17:44:00Z</dcterms:modified>
</cp:coreProperties>
</file>